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7B" w:rsidRPr="006A6A7B" w:rsidRDefault="006A6A7B" w:rsidP="006A6A7B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« Квартал</w:t>
      </w:r>
      <w:proofErr w:type="gramEnd"/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</w:p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строительству многоквартирного жилого дома с </w:t>
      </w:r>
      <w:proofErr w:type="gramStart"/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нежилыми  помещениями</w:t>
      </w:r>
      <w:proofErr w:type="gramEnd"/>
    </w:p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район Песочня, микрорайон-7, дом 2</w:t>
      </w:r>
    </w:p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6A6A7B" w:rsidRPr="006A6A7B" w:rsidTr="006A6A7B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Квартал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местонахождения: 390044, Рязанская область, г. Рязань, Вишневая улица, дом 21, корпус 2, Н4.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 </w:t>
            </w: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Рязанская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г. Рязань, Вокзальная улица, дом 41,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Квартал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ноября 2011 года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1116229003329, ИНН 6229043171.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Канке Александр Альфредович - 25% голосов;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Физическое лицо: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Юрий  Васильевич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25% голосов;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Баталов Алексей Геннадьевич – 25% голосов,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Сорокин Андрей Владимирович – 25% голосов.</w:t>
            </w:r>
          </w:p>
        </w:tc>
      </w:tr>
      <w:tr w:rsidR="006A6A7B" w:rsidRPr="006A6A7B" w:rsidTr="006A6A7B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Квартал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осуществляет строительство многоквартирного жилого дома с нежилыми помещениями по строительному адресу: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 город Рязань, район Песочня, микрорайон-7, дом 1.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2016 года.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квартал 2015 года – согласно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Разрешению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строительство №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62326000-166/2012/РС от «11» октября 2012 года, выданному Администрацией города Рязани;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 – согласно планируемому Застройщиком продлению срока действия Разрешения на строительство.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Центртехмонтажсервис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»,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имеющим Свидетельство о допуске к определенному виду или видам работ, которые оказывают влияние на безопасность объектов капитального строительства  № 0304.01-2014-6234055944-С-135, выданного СРО НП «Объединение Рязанских строителей» 27 февраля 2014 года на основании Решения Правления СРО НП «Объединение Рязанских строителей», протокол № 139 от 27 февраля 2014 г. на неограниченный срок, заключен Договор на выполнение строительного контроля от 10 сентября 2014 года.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Центртехмонтажсервис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»,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имеющим Свидетельство о допуске к определенному виду или видам работ, которые оказывают влияние на безопасность объектов капитального строительства  № 0304.01-2014-6234055944-С-135, выданного СРО НП «Объединение Рязанских строителей» 27 февраля 2014 года на основании Решения Правления СРО НП 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«Объединение Рязанских строителей», протокол № 139 от 27 февраля 2014 г. на неограниченный срок, заключен Договор подряда  от 10 сентября 2014 года.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– 443 153 рублей;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Размер кредиторской задолженности – 426 031 184 рублей;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6A6A7B" w:rsidRPr="006A6A7B" w:rsidRDefault="006A6A7B" w:rsidP="006A6A7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074"/>
      </w:tblGrid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</w:t>
            </w:r>
            <w:bookmarkStart w:id="0" w:name="_GoBack"/>
            <w:bookmarkEnd w:id="0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 дома с нежилыми помещениями по строительному адресу: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 город Рязань, район Песочня, микрорайон-7, дом 2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пусковой комплекс: с первого по десятый этаж (1-10 этаж);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Второй пусковой комплекс: с одиннадцатого по пятнадцатый этаж (11-15 этаж, технический этаж).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2017 года.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№76-1-2-0071-14, утвержденное Генеральным директором ЗАО «Верхне-Волжский Институт строительной Экспертизы и Консалтинга» 27.08.2014 года.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первого пускового комплекса здания дома №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62326000-123/2014/РС от «10» сентября 2014 года, выдано Администрацией города Рязани.</w:t>
            </w:r>
          </w:p>
        </w:tc>
      </w:tr>
      <w:tr w:rsidR="006A6A7B" w:rsidRPr="006A6A7B" w:rsidTr="006A6A7B">
        <w:trPr>
          <w:trHeight w:val="723"/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аренды владеет: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земельным участком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  62:29:0110006:53,  категория земель – земли населенных пунктов,  разрешенное использование: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назначения,  общей площадью – 18 130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адрес: Рязанская область, г. Рязань, р-н Песочня (Октябрьский район) (далее –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Участок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 на основании Договора аренды от 20.08.2014 года, зарегистрированного Управлением Федеральной службы государственной регистрации, кадастра и картографии по Рязанской области 04 сентября 2014 года за  №62-62-01/322/2014-023.</w:t>
            </w:r>
          </w:p>
          <w:p w:rsidR="006A6A7B" w:rsidRPr="006A6A7B" w:rsidRDefault="006A6A7B" w:rsidP="006A6A7B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Собственники  земельного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участка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1/4 (одна четвертая)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  в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праве общей долевой собственности на  Участок принадлежит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Баталову А.Г.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15.08.2014г., запись регистрации №62-62-01/274/2014-261.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права 62 –МД № 950862 от 15 августа 2014 года.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1/4 (одна четвертая) доля в праве общей долевой собственности на Участок принадлежит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Сорокину А.В.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15.08.2014г., запись регистрации №62-62-01/274/2014-261.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права 62 –МД № 950863 от 15 августа 2014 года.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1/2 (одна вторая) доля в праве общей долевой собственности на Участок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Саморукову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Э.Д.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15.08.2014г., запись регистрации №62-62-01/274/2014-261.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права 62 –МД № 950684 и  62 –МД № 950685 от 15 августа 2014 года.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площадки для парковки автотранспорта. Все площадки имеют соответствующие покрытие и оборудование.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возможность проезда механических инвалидных колясок к зданию дома;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для доступа с отметки входов на уровень первого этажа в секциях 2А, 2Г устанавливаются подъемники;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каждом крыльце запроектированы пандусы с уклоном не более 8%, шириной 1,2 м;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6A6A7B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238750" cy="2924175"/>
                  <wp:effectExtent l="0" t="0" r="0" b="9525"/>
                  <wp:docPr id="1" name="Рисунок 1" descr="http://old.edinstvo62.ru/houses/89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89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  Площадка строительства здания дома расположена на территории Октябрьского округа города Рязани на незастроенной территории. 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Памятников историко-культурного наследия на участке и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прилегающей  территории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нет. Здание дома расположено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 пределах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охранной зоны и санитарно-защитных зон предприятий и сооружений.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5-ти секционное (секции 2А, 2Б, 2В, 2Г, 2Д), с подвальным и техническим этажами. Все этажи жилые.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Здание дома бескаркасное с жесткой конструктивной схемой. В качестве несущей системы здания принят кирпичный остов, состоящий из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несущих  и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ненесущих продольных и поперечных кирпичных стен.  Пространственная жесткость и устойчивость обеспечена совместной работой несущих кирпичных стен и жестких дисков перекрытий.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 Наружные стены 1-го – 3-го этажей - из одинарного керамического полнотелого кирпича марки 200, толщиной 640 мм с облицовкой керамическим лицевым кирпичом толщиной 120 мм с внутренним утеплением, общая толщина стен 790 мм.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Наружные стены 4-6 этажей –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 одинарного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керамического полнотелого кирпича марки 150,  толщиной 640 мм с облицовкой керамическим лицевым кирпичом толщиной 120 мм с внутренним утеплением, общая толщина стен 790 мм.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Наружные стены с 7 этажа и выше - из камня крупноформатного пустотелого из пористой керамики толщиной 510 мм, с облицовкой лицевым керамическим кирпичом толщиной 120 мм, общая толщина стены 640 мм.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 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– настенные газовые котлы, установленные в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Горячее водоснабжение нежилых помещений – от электрических водонагревателей.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Водоснабжение здания дома предусмотрено от существующих кольцевых сетей водопровода, идущих с водопроводной насосной станции. Для учета расхода холодной воды на ответвлениях в каждую квартиру и нежилые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  установлены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счетчики. Точка подключения к ливневой канализация предусмотрена - существующий коллектор ливневой канализации, проходящий в микрорайоне №7 №7а ДПР.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Источником электроснабжения здания дома является существующая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двухтрансформаторная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подстанция. Электроснабжение нежилых помещений предусмотрено от самостоятельного вводно- распределительного устройства.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располагаются в подвальном этаже здания дома в секциях 2А, 2В, 2Д. ВРУ нежилых помещений располагается в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электрощитовом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помещении в секции 2В.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В подвальном этаже предполагается размещение инженерных коммуникаций, нежилых помещений (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нежилых помещений коммерческого назначения,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пожарная насосная.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нежилых помещений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коммерческого назначения предусмотрена установка принудительного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канализования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Sololi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ft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В проектной документации предусмотрено устройство сетей связи: телефонизация, радиофикация, телевидение,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домофонная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связь, диспетчеризация лифтов.</w:t>
            </w:r>
          </w:p>
          <w:p w:rsidR="006A6A7B" w:rsidRPr="006A6A7B" w:rsidRDefault="006A6A7B" w:rsidP="006A6A7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здании дома в каждой секции предусмотрена установка двух пассажирских лифтов. Один лифт грузоподъемностью 400 кг, другой – 630 кг. Параметры кабины второго лифта достаточны для пользования инвалидом на кресле-коляске.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 квартирах на кухнях предусмотрены установки газовых плит.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      Вентиляция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  и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механическим и естественным побуждением. На последних двух этажах вытяжка механическая.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Фундаменты – монолитные железобетонные фундаментная плита.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Кровля – плоская с организованным внутренним водостоком.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Оконные проемы и лоджии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остекляются  ПВХ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-профилем.  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Инфраструктура района: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районе строящегося дома находятся: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родильный дом №1;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стоматологическая  поликлиника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№4;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центр современной медицины «Доверие+»;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школы № 51,68, 71,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-детские сады №21, №157 «Капелька», №142, №149 «Светлячок», детские ясли «Наследники»;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рынок "Дашковская ярмарка";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супермаркеты;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сеть аптек;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отделения Сбербанка России;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церковь Александра Невского;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сквер с памятником генералу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М.Д.Скобелеву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Транспорт: 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маршрутное такси № 33, 47, 65, 77, 84, 90, 98, 99; автобусы № 6, 17.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Ближайшие остановки: Новоселов, 60; 3-ий квартал (Новоселов, 54), Шереметьево;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почты России №48.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Квартир:- 287, общей площадью – 15 995,66 кв. м, из них: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br/>
              <w:t>однокомнатных – 167;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br/>
              <w:t>двухкомнатных - 60;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br/>
              <w:t>трехкомнатных – 60.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(без конкретной технологии (назначения),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с  возможностью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  размещения нежилых помещений коммерческого и офисного назначения) – 6.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(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внеквартирные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хозяйственные кладовые) – 59.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без конкретной технологии (назначения),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 возможностью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размещения нежилых помещений коммерческого и офисного назначения.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подвальном этаже секции 2А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предусматривается размещение пожарной насосной,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 секции 2В и 2Д –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первом этаже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секциях 2А, 2Б –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нежилых помещений.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этажах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9. Состав общего имущества в многоквартирном доме, которое будет находиться в общей долевой </w:t>
            </w: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собственности участников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года</w:t>
            </w:r>
          </w:p>
        </w:tc>
      </w:tr>
      <w:tr w:rsidR="006A6A7B" w:rsidRPr="006A6A7B" w:rsidTr="006A6A7B">
        <w:trPr>
          <w:trHeight w:val="2321"/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6A6A7B" w:rsidRPr="006A6A7B" w:rsidRDefault="006A6A7B" w:rsidP="006A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479 870 000 рублей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«Квартал»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ООО «Газпром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межрегионгаз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Рязань»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«Остров»;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г. Рязани»;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 Федеральным</w:t>
            </w:r>
            <w:proofErr w:type="gramEnd"/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  участия в долевом строительстве осуществляется: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Страховщик – ООО СК «АРТЕКС» (ОГРН 1023500876882; ИНН 3525022810).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страхования гражданской ответственности Застройщика (</w:t>
            </w:r>
            <w:hyperlink r:id="rId5" w:history="1">
              <w:r w:rsidRPr="006A6A7B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6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правилами на </w:t>
            </w:r>
            <w:hyperlink r:id="rId6" w:tgtFrame="_blank" w:history="1">
              <w:r w:rsidRPr="006A6A7B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6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Страховщика.</w:t>
            </w:r>
          </w:p>
        </w:tc>
      </w:tr>
      <w:tr w:rsidR="006A6A7B" w:rsidRPr="006A6A7B" w:rsidTr="006A6A7B">
        <w:trPr>
          <w:tblCellSpacing w:w="15" w:type="dxa"/>
        </w:trPr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A7B" w:rsidRPr="006A6A7B" w:rsidRDefault="006A6A7B" w:rsidP="006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нет.</w:t>
            </w:r>
          </w:p>
        </w:tc>
      </w:tr>
    </w:tbl>
    <w:p w:rsidR="006A6A7B" w:rsidRPr="006A6A7B" w:rsidRDefault="006A6A7B" w:rsidP="006A6A7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6A6A7B" w:rsidRPr="006A6A7B" w:rsidRDefault="006A6A7B" w:rsidP="006A6A7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A6A7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7A1B3E" w:rsidRDefault="006A6A7B" w:rsidP="006A6A7B">
      <w:r w:rsidRPr="006A6A7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10 сентября 2014 года.</w:t>
      </w:r>
    </w:p>
    <w:sectPr w:rsidR="007A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B"/>
    <w:rsid w:val="006A6A7B"/>
    <w:rsid w:val="007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EC9F-2452-47DF-A615-15FFA39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7B"/>
    <w:rPr>
      <w:b/>
      <w:bCs/>
    </w:rPr>
  </w:style>
  <w:style w:type="character" w:customStyle="1" w:styleId="apple-converted-space">
    <w:name w:val="apple-converted-space"/>
    <w:basedOn w:val="a0"/>
    <w:rsid w:val="006A6A7B"/>
  </w:style>
  <w:style w:type="character" w:styleId="a5">
    <w:name w:val="Hyperlink"/>
    <w:basedOn w:val="a0"/>
    <w:uiPriority w:val="99"/>
    <w:semiHidden/>
    <w:unhideWhenUsed/>
    <w:rsid w:val="006A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pub6ajbe.xn--p1ai/corporate_clients/liability_insurance/" TargetMode="External"/><Relationship Id="rId5" Type="http://schemas.openxmlformats.org/officeDocument/2006/relationships/hyperlink" Target="http://site/download/insurance_builder_rul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2017-06-09T13:53:00Z</dcterms:created>
  <dcterms:modified xsi:type="dcterms:W3CDTF">2017-06-09T13:53:00Z</dcterms:modified>
</cp:coreProperties>
</file>